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***市公安局文件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×公通〔2026〕×号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***市公安局</w:t>
        <w:br/>
        <w:t>关于加强烟花爆竹安全管理的通告</w:t>
      </w:r>
    </w:p>
    <w:p>
      <w:pPr>
        <w:spacing w:before="0" w:after="0" w:line="560" w:lineRule="exact"/>
      </w:pP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为加强烟花爆竹安全管理，预防和减少火灾、爆炸等安全事故，保障公共安全和人民群众生命财产安全，根据《烟花爆竹安全管理条例》等法律法规规定，现就有关事项通告如下：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一、禁止在下列区域和场所燃放烟花爆竹：（一）文物保护单位；（二）车站、码头、机场等交通枢纽以及铁路线路安全保护区内；（三）易燃易爆物品生产、储存单位；（四）输变电设施安全保护区内；（五）医疗机构、幼儿园、中小学校、敬老院；（六）山林、草原等重点防火区；（七）市人民政府规定的其他区域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二、在允许燃放的区域，燃放烟花爆竹应当遵守以下规定：（一）不得向行人、车辆、建筑物投掷烟花爆竹；（二）不得在建筑物内、屋顶、阳台燃放或者向外抛掷烟花爆竹；（三）不得采取其他危害公共安全和人身、财产安全的方式燃放烟花爆竹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三、未经许可，任何单位和个人不得生产、经营、运输烟花爆竹。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四、违反本通告规定的，由公安机关依法予以处罚；构成犯罪的，依法追究刑事责任。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五、本通告自发布之日起施行。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特此通告。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***市公安局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p>
      <w:pPr>
        <w:spacing w:before="120" w:after="0" w:line="80" w:lineRule="exact"/>
        <w:pBdr>
          <w:top w:val="single" w:sz="12" w:space="1" w:color="000000"/>
        </w:pBdr>
      </w:pPr>
    </w:p>
    <w:p>
      <w:pPr>
        <w:spacing w:before="0" w:after="0" w:line="490" w:lineRule="exact"/>
        <w:ind w:firstLine="280"/>
      </w:pPr>
      <w:r>
        <w:rPr>
          <w:rFonts w:ascii="仿宋" w:hAnsi="仿宋" w:eastAsia="仿宋"/>
          <w:b w:val="0"/>
          <w:sz w:val="28"/>
        </w:rPr>
        <w:t>抄送：市应急管理局、市市场监管局。</w:t>
      </w:r>
    </w:p>
    <w:p>
      <w:pPr>
        <w:spacing w:before="0" w:after="0" w:line="80" w:lineRule="exact"/>
        <w:pBdr>
          <w:top w:val="single" w:sz="6" w:space="1" w:color="000000"/>
        </w:pBdr>
      </w:pPr>
    </w:p>
    <w:p>
      <w:pPr>
        <w:spacing w:before="0" w:after="0" w:line="490" w:lineRule="exact"/>
      </w:pPr>
      <w:r>
        <w:rPr>
          <w:rFonts w:ascii="仿宋" w:hAnsi="仿宋" w:eastAsia="仿宋"/>
          <w:b w:val="0"/>
          <w:sz w:val="28"/>
        </w:rPr>
        <w:t>***市公安局办公室</w:t>
      </w:r>
      <w:r>
        <w:rPr>
          <w:rFonts w:ascii="仿宋" w:hAnsi="仿宋" w:eastAsia="仿宋"/>
          <w:b w:val="0"/>
          <w:sz w:val="28"/>
        </w:rPr>
        <w:t xml:space="preserve">                                              2026年×月×日印发</w:t>
      </w:r>
    </w:p>
    <w:p>
      <w:pPr>
        <w:spacing w:before="0" w:after="0" w:line="80" w:lineRule="exact"/>
        <w:pBdr>
          <w:top w:val="single" w:sz="12" w:space="1" w:color="000000"/>
        </w:pBdr>
      </w:pP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