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tabs>
          <w:tab w:val="right" w:pos="8858"/>
        </w:tabs>
      </w:pPr>
      <w:r>
        <w:rPr>
          <w:rFonts w:ascii="仿宋" w:hAnsi="仿宋" w:eastAsia="仿宋"/>
          <w:b w:val="0"/>
          <w:sz w:val="32"/>
        </w:rPr>
        <w:t>×政〔2026〕×号</w:t>
      </w:r>
      <w:r>
        <w:tab/>
        <w:tab/>
      </w:r>
      <w:r>
        <w:rPr>
          <w:rFonts w:ascii="仿宋" w:hAnsi="仿宋" w:eastAsia="仿宋"/>
          <w:b w:val="0"/>
          <w:sz w:val="32"/>
        </w:rPr>
        <w:t>签发人：</w:t>
      </w:r>
      <w:r>
        <w:rPr>
          <w:rFonts w:ascii="楷体" w:hAnsi="楷体" w:eastAsia="楷体"/>
          <w:b w:val="0"/>
          <w:sz w:val="32"/>
        </w:rPr>
        <w:t>×××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关于2025年度法治政府建设情况的报告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省人民政府：：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根据《法治政府建设实施纲要（2021—2025年）》和省人民政府工作要求，现将***市2025年度法治政府建设情况报告如下：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一、主要工作及成效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（一）依法全面履行政府职能。深入推进"放管服"改革，全面实行行政许可事项清单管理，取消和下放行政审批事项×项。持续优化营商环境，企业开办时间压缩至×个工作日以内。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（二）完善依法行政制度体系。提请市人大常委会审议地方性法规草案×件，制定市政府规章×件，规范性文件合法性审查率达到100%。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（三）推进行政决策科学化民主化法治化。严格执行重大行政决策法定程序，全年共开展合法性审查×次，组织专家论证×次，公众参与×次。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（四）坚持严格规范公正文明执法。深化综合行政执法体制改革，全面推行行政执法"三项制度"，行政执法人员持证上岗率达到100%。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二、存在的主要问题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一是部分领导干部法治意识有待进一步增强，运用法治思维和法治方式解决问题的能力还需提高。二是基层执法力量不足，执法规范化水平有待提升。三是行政复议和行政诉讼案件数量仍居高位，依法行政水平有待进一步提高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三、下一步工作打算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一是持续深化法治政府建设示范创建活动，以创建促提升。二是加强行政执法人员培训，提高执法规范化水平。三是完善矛盾纠纷多元化解机制，推进行政争议实质性化解。四是加强法治宣传教育，营造良好法治氛围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