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XX市财政局文件</w:t>
      </w:r>
    </w:p>
    <w:p>
      <w:pPr>
        <w:jc w:val="center"/>
        <w:spacing w:before="240" w:after="360"/>
      </w:pPr>
      <w:r>
        <w:rPr>
          <w:sz w:val="32"/>
          <w:szCs w:val="32"/>
          <w:rFonts w:ascii="FangSong" w:eastAsia="FangSong" w:hAnsi="FangSong" w:cs="FangSong"/>
        </w:rPr>
        <w:t xml:space="preserve">X财〔2026〕34号</w:t>
      </w:r>
    </w:p>
    <w:p>
      <w:pPr>
        <w:jc w:val="center"/>
        <w:spacing w:before="240" w:after="360"/>
      </w:pPr>
      <w:r>
        <w:rPr>
          <w:b/>
          <w:bCs/>
          <w:sz w:val="44"/>
          <w:szCs w:val="44"/>
          <w:rFonts w:ascii="SimHei" w:eastAsia="SimHei" w:hAnsi="SimHei" w:cs="SimHei"/>
        </w:rPr>
        <w:t xml:space="preserve">关于进一步规范财政财务管理的意见</w:t>
      </w:r>
    </w:p>
    <w:p>
      <w:pPr>
        <w:spacing w:line="560" w:lineRule="exact"/>
        <w:ind w:firstLine="640"/>
      </w:pPr>
      <w:r>
        <w:rPr>
          <w:sz w:val="32"/>
          <w:szCs w:val="32"/>
          <w:rFonts w:ascii="FangSong" w:eastAsia="FangSong" w:hAnsi="FangSong" w:cs="FangSong"/>
        </w:rPr>
        <w:t xml:space="preserve">为深入贯彻落实党中央、国务院关于严肃财经纪律、规范财政财务管理的部署要求，进一步强化预算约束，提高财政资金使用效益，防范财政财务风险，结合我市实际，提出如下意见。加强财政财务管理是推进国家治理体系和治理能力现代化的重要基础，全市各级各部门要切实增强责任感和紧迫感，全面提升财政财务管理水平。</w:t>
      </w:r>
    </w:p>
    <w:p>
      <w:pPr>
        <w:spacing w:line="560" w:lineRule="exact"/>
        <w:ind w:firstLine="640"/>
      </w:pPr>
      <w:r>
        <w:rPr>
          <w:sz w:val="32"/>
          <w:szCs w:val="32"/>
          <w:rFonts w:ascii="FangSong" w:eastAsia="FangSong" w:hAnsi="FangSong" w:cs="FangSong"/>
        </w:rPr>
        <w:t xml:space="preserve">一、总体要求。以习近平新时代中国特色社会主义思想为指导，全面贯彻落实预算法及其实施条例，坚持统筹兼顾、突出重点、勤俭节约、讲求绩效的原则，着力构建规范透明、标准科学、约束有力的预算制度。到2028年，基本建成权责清晰、运行顺畅、管理规范、监督有力的财政财务管理体系，财政资金配置效率和使用效益显著提升，财经纪律执行更加严格。</w:t>
      </w:r>
    </w:p>
    <w:p>
      <w:pPr>
        <w:spacing w:line="560" w:lineRule="exact"/>
        <w:ind w:firstLine="640"/>
      </w:pPr>
      <w:r>
        <w:rPr>
          <w:sz w:val="32"/>
          <w:szCs w:val="32"/>
          <w:rFonts w:ascii="FangSong" w:eastAsia="FangSong" w:hAnsi="FangSong" w:cs="FangSong"/>
        </w:rPr>
        <w:t xml:space="preserve">二、严格预算管理。强化预算刚性约束，坚持先有预算后有支出，严禁无预算、超预算安排支出。规范预算编制，提高预算编制的科学性和准确性，将所有政府收入和支出全部纳入预算管理。严控一般性支出，持续压减"三公"经费和会议费、培训费等支出，降低行政运行成本。规范预算调整和调剂程序，强化预算执行动态监控。要牢固树立过紧日子思想，把每一分钱都用在刀刃上。</w:t>
      </w:r>
    </w:p>
    <w:p>
      <w:pPr>
        <w:spacing w:line="560" w:lineRule="exact"/>
        <w:ind w:firstLine="640"/>
      </w:pPr>
      <w:r>
        <w:rPr>
          <w:sz w:val="32"/>
          <w:szCs w:val="32"/>
          <w:rFonts w:ascii="FangSong" w:eastAsia="FangSong" w:hAnsi="FangSong" w:cs="FangSong"/>
        </w:rPr>
        <w:t xml:space="preserve">三、加强财务管理和会计核算。各预算单位要严格执行行政事业单位财务规则和会计制度，规范会计核算，确保会计信息真实、完整、准确。建立健全内部控制制度，加强货币资金、固定资产、政府采购等关键环节管理。规范银行账户管理，严禁违规开设银行账户或将财政资金违规转入实有资金账户。严格票据管理，规范收入收缴行为，做到应收尽收、应缴尽缴。</w:t>
      </w:r>
    </w:p>
    <w:p>
      <w:pPr>
        <w:spacing w:line="560" w:lineRule="exact"/>
        <w:ind w:firstLine="640"/>
      </w:pPr>
      <w:r>
        <w:rPr>
          <w:sz w:val="32"/>
          <w:szCs w:val="32"/>
          <w:rFonts w:ascii="FangSong" w:eastAsia="FangSong" w:hAnsi="FangSong" w:cs="FangSong"/>
        </w:rPr>
        <w:t xml:space="preserve">四、全面实施预算绩效管理。将各级各类财政资金全面纳入绩效管理，建立"预算编制有目标、预算执行有监控、预算完成有评价、评价结果有应用"的全过程预算绩效管理链条。科学设置绩效指标和标准体系，开展事前绩效评估和绩效目标审核。强化绩效评价结果应用，将评价结果作为完善政策、安排预算和改进管理的重要依据，真正做到花钱必问效、无效必问责。</w:t>
      </w:r>
    </w:p>
    <w:p>
      <w:pPr>
        <w:spacing w:line="560" w:lineRule="exact"/>
        <w:ind w:firstLine="640"/>
      </w:pPr>
      <w:r>
        <w:rPr>
          <w:sz w:val="32"/>
          <w:szCs w:val="32"/>
          <w:rFonts w:ascii="FangSong" w:eastAsia="FangSong" w:hAnsi="FangSong" w:cs="FangSong"/>
        </w:rPr>
        <w:t xml:space="preserve">五、严肃财经纪律。严格执行各项财经法律法规，坚决查处违反财经纪律行为。严禁虚列支出、虚增收入，严禁挪用专项资金、滞留截留财政资金。加强对重大财政政策落实、重点项目资金使用等情况的监督检查。自觉接受人大监督、审计监督和社会监督，及时整改发现的问题。建立健全财政财务管理问责机制，对违规违纪问题严肃追责问责，形成有力震慑。</w:t>
      </w:r>
    </w:p>
    <w:p>
      <w:pPr>
        <w:spacing w:line="560" w:lineRule="exact"/>
        <w:ind w:firstLine="640"/>
      </w:pPr>
      <w:r>
        <w:rPr>
          <w:sz w:val="32"/>
          <w:szCs w:val="32"/>
          <w:rFonts w:ascii="FangSong" w:eastAsia="FangSong" w:hAnsi="FangSong" w:cs="FangSong"/>
        </w:rPr>
        <w:t xml:space="preserve">六、加强组织保障。各县（区）政府要高度重视财政财务管理工作，切实加强组织领导。财政部门要履行好牵头协调和监督检查职责，各部门要落实财务管理主体责任。要加强财会人员队伍建设，提升专业能力和职业素养。要加快推进财政信息化建设，运用现代信息技术提升财政管理效能。本意见自印发之日起施行。</w:t>
      </w:r>
    </w:p>
    <w:p>
      <w:pPr>
        <w:jc w:val="right"/>
        <w:spacing w:before="600"/>
      </w:pPr>
      <w:r>
        <w:rPr>
          <w:sz w:val="32"/>
          <w:szCs w:val="32"/>
          <w:rFonts w:ascii="FangSong" w:eastAsia="FangSong" w:hAnsi="FangSong" w:cs="FangSong"/>
        </w:rPr>
        <w:t xml:space="preserve">XX市财政局</w:t>
      </w:r>
    </w:p>
    <w:p>
      <w:pPr>
        <w:jc w:val="right"/>
      </w:pPr>
      <w:r>
        <w:rPr>
          <w:sz w:val="32"/>
          <w:szCs w:val="32"/>
          <w:rFonts w:ascii="FangSong" w:eastAsia="FangSong" w:hAnsi="FangSong" w:cs="FangSong"/>
        </w:rPr>
        <w:t xml:space="preserve">2026年7月20日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